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sz w:val="44"/>
          <w:szCs w:val="44"/>
        </w:rPr>
        <w:t>年度襄阳市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襄州</w:t>
      </w:r>
      <w:r>
        <w:rPr>
          <w:rFonts w:hint="eastAsia" w:ascii="宋体" w:hAnsi="宋体" w:eastAsia="宋体" w:cs="宋体"/>
          <w:sz w:val="44"/>
          <w:szCs w:val="44"/>
        </w:rPr>
        <w:t>区人民法院办案业务专项经费绩效自评报告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61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一、自评结论</w:t>
      </w:r>
    </w:p>
    <w:p>
      <w:pPr>
        <w:spacing w:line="61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（一）绩效自评得分及完成情况</w:t>
      </w:r>
    </w:p>
    <w:p>
      <w:pPr>
        <w:spacing w:line="61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办案业务专项经费绩效自评得分100分。202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年财政拨款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308.69</w:t>
      </w:r>
      <w:r>
        <w:rPr>
          <w:rFonts w:hint="eastAsia" w:ascii="仿宋" w:hAnsi="仿宋" w:eastAsia="仿宋" w:cs="仿宋_GB2312"/>
          <w:sz w:val="32"/>
          <w:szCs w:val="32"/>
        </w:rPr>
        <w:t>万元，决算财政拨款支付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308.69</w:t>
      </w:r>
      <w:r>
        <w:rPr>
          <w:rFonts w:hint="eastAsia" w:ascii="仿宋" w:hAnsi="仿宋" w:eastAsia="仿宋" w:cs="仿宋_GB2312"/>
          <w:sz w:val="32"/>
          <w:szCs w:val="32"/>
        </w:rPr>
        <w:t>万元。预算数为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308.69</w:t>
      </w:r>
      <w:r>
        <w:rPr>
          <w:rFonts w:hint="eastAsia" w:ascii="仿宋" w:hAnsi="仿宋" w:eastAsia="仿宋" w:cs="仿宋_GB2312"/>
          <w:sz w:val="32"/>
          <w:szCs w:val="32"/>
        </w:rPr>
        <w:t>万元，执行数为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308.69</w:t>
      </w:r>
      <w:r>
        <w:rPr>
          <w:rFonts w:hint="eastAsia" w:ascii="仿宋" w:hAnsi="仿宋" w:eastAsia="仿宋" w:cs="仿宋_GB2312"/>
          <w:sz w:val="32"/>
          <w:szCs w:val="32"/>
        </w:rPr>
        <w:t>万元，执行率100%。保障了人民法院审、执活动的顺利进行，有效的维护了社会稳定。很好地履行法律赋予的职能，维护了司法权威和公信力。</w:t>
      </w:r>
    </w:p>
    <w:p>
      <w:pPr>
        <w:spacing w:line="61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（二）存在的问题</w:t>
      </w:r>
    </w:p>
    <w:p>
      <w:pPr>
        <w:spacing w:line="61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年我院虽然有效地使用办案业务专项经费，履行法律赋予的职能，维护了司法权威和公信力。但年初绩效指标编制仍不够细化，目标过于单一，未能全面的设置绩效目标标准。</w:t>
      </w:r>
    </w:p>
    <w:p>
      <w:pPr>
        <w:spacing w:line="610" w:lineRule="exac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（三）自评结果拟应用建议</w:t>
      </w:r>
    </w:p>
    <w:p>
      <w:pPr>
        <w:spacing w:line="61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绩效管理人员要加强学习，编制预算时要细化量化绩效评价指标，预算项目和预算资金一经批复，单位应当迅速组织执行并加强管理。实行动态监控，提高预算执行率。</w:t>
      </w:r>
    </w:p>
    <w:p>
      <w:pPr>
        <w:spacing w:line="61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二、佐证资料</w:t>
      </w:r>
    </w:p>
    <w:p>
      <w:pPr>
        <w:spacing w:line="610" w:lineRule="exact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（一）基本情况</w:t>
      </w:r>
    </w:p>
    <w:p>
      <w:pPr>
        <w:spacing w:line="610" w:lineRule="exact"/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襄州区</w:t>
      </w:r>
      <w:r>
        <w:rPr>
          <w:rFonts w:hint="eastAsia" w:ascii="仿宋" w:hAnsi="仿宋" w:eastAsia="仿宋" w:cs="仿宋_GB2312"/>
          <w:sz w:val="32"/>
          <w:szCs w:val="32"/>
        </w:rPr>
        <w:t>人民法院担负着审理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襄州区</w:t>
      </w:r>
      <w:r>
        <w:rPr>
          <w:rFonts w:hint="eastAsia" w:ascii="仿宋" w:hAnsi="仿宋" w:eastAsia="仿宋" w:cs="仿宋_GB2312"/>
          <w:sz w:val="32"/>
          <w:szCs w:val="32"/>
        </w:rPr>
        <w:t>各类刑事、民事、行政、执行案件以及化解涉诉信访和群体性事件的审判职责，每年都要承担相当繁重的办案任务，处理化解大量的矛盾纠纷，年受理案件数已超过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19255</w:t>
      </w:r>
      <w:r>
        <w:rPr>
          <w:rFonts w:hint="eastAsia" w:ascii="仿宋" w:hAnsi="仿宋" w:eastAsia="仿宋" w:cs="仿宋_GB2312"/>
          <w:sz w:val="32"/>
          <w:szCs w:val="32"/>
        </w:rPr>
        <w:t>件，每年案件呈上升趋势，办案压力增长空前。为了履行法律赋予的职能，保障全年办案、审判技术鉴定工作的开展,我院编制了办案业务专项经费。</w:t>
      </w:r>
    </w:p>
    <w:p>
      <w:pPr>
        <w:spacing w:line="610" w:lineRule="exact"/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hint="eastAsia" w:ascii="方正小标宋简体" w:hAnsi="Arial" w:eastAsia="方正小标宋简体" w:cs="方正小标宋简体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年办案业务专项经费共计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308.69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用于支付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办公费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、差旅费、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邮电费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、维修（护）费等。</w:t>
      </w:r>
    </w:p>
    <w:p>
      <w:pPr>
        <w:spacing w:line="610" w:lineRule="exact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（二）绩效自评工作开展情况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ascii="仿宋" w:hAnsi="仿宋" w:eastAsia="仿宋" w:cs="仿宋_GB2312"/>
          <w:sz w:val="32"/>
          <w:szCs w:val="32"/>
        </w:rPr>
        <w:t>核实数据。对20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_GB2312"/>
          <w:sz w:val="32"/>
          <w:szCs w:val="32"/>
        </w:rPr>
        <w:t>年度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ascii="仿宋" w:hAnsi="仿宋" w:eastAsia="仿宋" w:cs="仿宋_GB2312"/>
          <w:sz w:val="32"/>
          <w:szCs w:val="32"/>
        </w:rPr>
        <w:t>支出数据的准确性、真实性进行核实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ascii="仿宋" w:hAnsi="仿宋" w:eastAsia="仿宋" w:cs="仿宋_GB2312"/>
          <w:sz w:val="32"/>
          <w:szCs w:val="32"/>
        </w:rPr>
        <w:t>查阅资料。查阅20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_GB2312"/>
          <w:sz w:val="32"/>
          <w:szCs w:val="32"/>
        </w:rPr>
        <w:t>年度预算安排、预算追加、资金管理、经费支出、资产管理等相关文件资料和财务凭证。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</w:t>
      </w:r>
      <w:r>
        <w:rPr>
          <w:rFonts w:ascii="仿宋" w:hAnsi="仿宋" w:eastAsia="仿宋" w:cs="仿宋_GB2312"/>
          <w:sz w:val="32"/>
          <w:szCs w:val="32"/>
        </w:rPr>
        <w:t>归纳汇总。对收集的评价材料结合本院情况进行综合分析、归纳汇总。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</w:t>
      </w:r>
      <w:r>
        <w:rPr>
          <w:rFonts w:ascii="仿宋" w:hAnsi="仿宋" w:eastAsia="仿宋" w:cs="仿宋_GB2312"/>
          <w:sz w:val="32"/>
          <w:szCs w:val="32"/>
        </w:rPr>
        <w:t>根据评价材料结合各项评价指标进行分析评分。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</w:t>
      </w:r>
      <w:r>
        <w:rPr>
          <w:rFonts w:ascii="仿宋" w:hAnsi="仿宋" w:eastAsia="仿宋" w:cs="仿宋_GB2312"/>
          <w:sz w:val="32"/>
          <w:szCs w:val="32"/>
        </w:rPr>
        <w:t>形成绩效评价自评报告。</w:t>
      </w:r>
    </w:p>
    <w:p>
      <w:pPr>
        <w:spacing w:line="610" w:lineRule="exact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（三）绩效目标完成情况分析</w:t>
      </w:r>
    </w:p>
    <w:p>
      <w:pPr>
        <w:spacing w:line="61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办案业务专项经费财政拨款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308.69</w:t>
      </w:r>
      <w:r>
        <w:rPr>
          <w:rFonts w:hint="eastAsia" w:ascii="仿宋" w:hAnsi="仿宋" w:eastAsia="仿宋" w:cs="仿宋_GB2312"/>
          <w:sz w:val="32"/>
          <w:szCs w:val="32"/>
        </w:rPr>
        <w:t>万元，决算财政拨款支付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308.69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100%。保障全年办案、审判技术鉴定工作的开展，完成了年初的绩效目标。</w:t>
      </w:r>
    </w:p>
    <w:p>
      <w:pPr>
        <w:spacing w:line="61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三、原始</w:t>
      </w:r>
      <w:r>
        <w:rPr>
          <w:rFonts w:ascii="黑体" w:hAnsi="黑体" w:eastAsia="黑体" w:cs="黑体"/>
          <w:sz w:val="32"/>
          <w:szCs w:val="32"/>
        </w:rPr>
        <w:t>资料</w:t>
      </w:r>
    </w:p>
    <w:p>
      <w:pPr>
        <w:spacing w:line="610" w:lineRule="exact"/>
        <w:ind w:firstLine="64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在绩效</w:t>
      </w:r>
      <w:r>
        <w:rPr>
          <w:rFonts w:ascii="仿宋" w:hAnsi="仿宋" w:eastAsia="仿宋" w:cs="Times New Roman"/>
          <w:sz w:val="32"/>
          <w:szCs w:val="32"/>
        </w:rPr>
        <w:t>评价过程中，</w:t>
      </w:r>
      <w:r>
        <w:rPr>
          <w:rFonts w:hint="eastAsia" w:ascii="仿宋" w:hAnsi="仿宋" w:eastAsia="仿宋" w:cs="Times New Roman"/>
          <w:sz w:val="32"/>
          <w:szCs w:val="32"/>
        </w:rPr>
        <w:t>依据20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年决算数和20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年预算编报文本中的数据 ，通过对</w:t>
      </w:r>
      <w:r>
        <w:rPr>
          <w:rFonts w:ascii="仿宋" w:hAnsi="仿宋" w:eastAsia="仿宋" w:cs="Times New Roman"/>
          <w:sz w:val="32"/>
          <w:szCs w:val="32"/>
        </w:rPr>
        <w:t>相关资料</w:t>
      </w:r>
      <w:r>
        <w:rPr>
          <w:rFonts w:hint="eastAsia" w:ascii="仿宋" w:hAnsi="仿宋" w:eastAsia="仿宋" w:cs="Times New Roman"/>
          <w:sz w:val="32"/>
          <w:szCs w:val="32"/>
        </w:rPr>
        <w:t>的数据进行计算，核算出20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年项目绩效。</w:t>
      </w:r>
    </w:p>
    <w:p>
      <w:pPr>
        <w:spacing w:line="610" w:lineRule="exact"/>
        <w:ind w:firstLine="640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610" w:lineRule="exact"/>
        <w:ind w:firstLine="640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610" w:lineRule="exact"/>
        <w:ind w:firstLine="64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襄阳市襄州区人民法院</w:t>
      </w:r>
    </w:p>
    <w:p>
      <w:pPr>
        <w:spacing w:line="610" w:lineRule="exact"/>
        <w:ind w:firstLine="64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2022年3月15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40856"/>
    <w:rsid w:val="64495BD3"/>
    <w:rsid w:val="70A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2022-03-15T08:48:00Z</dcterms:created>
  <dc:creator>user</dc:creator>
  <cp:lastModifiedBy>user</cp:lastModifiedBy>
  <dcterms:modified xsi:type="dcterms:W3CDTF">2022-03-15T08:55:20Z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